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62BE5" w14:textId="40B732E6" w:rsidR="0030200E" w:rsidRDefault="00957EF8">
      <w:pPr>
        <w:pStyle w:val="Title"/>
      </w:pPr>
      <w:r>
        <w:t xml:space="preserve">Thrombophilia </w:t>
      </w:r>
      <w:r w:rsidR="00A81C65">
        <w:t>T</w:t>
      </w:r>
      <w:r>
        <w:t xml:space="preserve">esting </w:t>
      </w:r>
    </w:p>
    <w:p w14:paraId="5F8EB80C" w14:textId="654A6DAA" w:rsidR="0030200E" w:rsidRDefault="00957EF8">
      <w:pPr>
        <w:pStyle w:val="Heading1"/>
        <w:rPr>
          <w:b w:val="0"/>
          <w:bCs/>
          <w:sz w:val="24"/>
          <w:szCs w:val="24"/>
        </w:rPr>
      </w:pPr>
      <w:r w:rsidRPr="00BE1266">
        <w:rPr>
          <w:sz w:val="24"/>
          <w:szCs w:val="24"/>
        </w:rPr>
        <w:t>Proposal</w:t>
      </w:r>
      <w:r w:rsidR="007D743F" w:rsidRPr="006F0B1F">
        <w:rPr>
          <w:b w:val="0"/>
          <w:bCs/>
          <w:sz w:val="24"/>
          <w:szCs w:val="24"/>
        </w:rPr>
        <w:t>:</w:t>
      </w:r>
      <w:r w:rsidR="005205AD" w:rsidRPr="006F0B1F">
        <w:rPr>
          <w:b w:val="0"/>
          <w:bCs/>
          <w:sz w:val="24"/>
          <w:szCs w:val="24"/>
        </w:rPr>
        <w:t xml:space="preserve"> to eliminate </w:t>
      </w:r>
      <w:r w:rsidR="00E5444D" w:rsidRPr="006F0B1F">
        <w:rPr>
          <w:b w:val="0"/>
          <w:bCs/>
          <w:sz w:val="24"/>
          <w:szCs w:val="24"/>
        </w:rPr>
        <w:t>testing for thrombophilia</w:t>
      </w:r>
      <w:r w:rsidR="00422AE8" w:rsidRPr="006F0B1F">
        <w:rPr>
          <w:b w:val="0"/>
          <w:bCs/>
          <w:sz w:val="24"/>
          <w:szCs w:val="24"/>
        </w:rPr>
        <w:t xml:space="preserve"> while in the hospital </w:t>
      </w:r>
    </w:p>
    <w:p w14:paraId="0C703D5A" w14:textId="77777777" w:rsidR="00777000" w:rsidRPr="00777000" w:rsidRDefault="00777000" w:rsidP="00777000"/>
    <w:p w14:paraId="4319603B" w14:textId="180E1FC5" w:rsidR="002A1BCE" w:rsidRDefault="006B56E7" w:rsidP="00FD6769">
      <w:r w:rsidRPr="00BE1266">
        <w:rPr>
          <w:b/>
          <w:bCs/>
        </w:rPr>
        <w:t>Background:</w:t>
      </w:r>
      <w:r w:rsidRPr="006F0B1F">
        <w:t xml:space="preserve"> </w:t>
      </w:r>
      <w:r w:rsidR="00EA209E" w:rsidRPr="006F0B1F">
        <w:t>There is repeated cons</w:t>
      </w:r>
      <w:r w:rsidR="005A6D94" w:rsidRPr="006F0B1F">
        <w:t xml:space="preserve">ensus that </w:t>
      </w:r>
      <w:r w:rsidR="00F3043D" w:rsidRPr="006F0B1F">
        <w:t>thrombophilia</w:t>
      </w:r>
      <w:r w:rsidR="005A6D94" w:rsidRPr="006F0B1F">
        <w:t xml:space="preserve"> testing in an inpatient setting </w:t>
      </w:r>
      <w:r w:rsidR="001E56FB" w:rsidRPr="006F0B1F">
        <w:t>s</w:t>
      </w:r>
      <w:r w:rsidR="00705267" w:rsidRPr="006F0B1F">
        <w:t xml:space="preserve">hould almost never </w:t>
      </w:r>
      <w:r w:rsidR="00EA32AB" w:rsidRPr="006F0B1F">
        <w:t xml:space="preserve">be performed for it rarely influences the clinical treatment and management of patients in this setting. Testing adds little value to acute management and </w:t>
      </w:r>
      <w:r w:rsidR="00D158DA">
        <w:t>contributes to</w:t>
      </w:r>
      <w:r w:rsidR="00EA32AB" w:rsidRPr="006F0B1F">
        <w:t xml:space="preserve"> significant unnecessary and avoidable cost to the hospital</w:t>
      </w:r>
      <w:r w:rsidR="00D73E7C">
        <w:t xml:space="preserve">. </w:t>
      </w:r>
      <w:r w:rsidR="00EA32AB" w:rsidRPr="006F0B1F">
        <w:t xml:space="preserve"> </w:t>
      </w:r>
      <w:r w:rsidR="005E0DA1">
        <w:t>U</w:t>
      </w:r>
      <w:r w:rsidR="00D73E7C">
        <w:t xml:space="preserve">nnecessary testing </w:t>
      </w:r>
      <w:r w:rsidR="00EA32AB" w:rsidRPr="006F0B1F">
        <w:t>caus</w:t>
      </w:r>
      <w:r w:rsidR="00AA6AD1">
        <w:t xml:space="preserve">es </w:t>
      </w:r>
      <w:r w:rsidR="00EA32AB" w:rsidRPr="006F0B1F">
        <w:t>delays in patient throughput</w:t>
      </w:r>
      <w:r w:rsidR="00F3043D" w:rsidRPr="006F0B1F">
        <w:t xml:space="preserve"> and</w:t>
      </w:r>
      <w:r w:rsidR="00EA32AB" w:rsidRPr="006F0B1F">
        <w:t xml:space="preserve"> add</w:t>
      </w:r>
      <w:r w:rsidR="00F3043D" w:rsidRPr="006F0B1F">
        <w:t>s</w:t>
      </w:r>
      <w:r w:rsidR="00EA32AB" w:rsidRPr="006F0B1F">
        <w:t xml:space="preserve"> to </w:t>
      </w:r>
      <w:r w:rsidR="004619D5" w:rsidRPr="006F0B1F">
        <w:t xml:space="preserve">the </w:t>
      </w:r>
      <w:r w:rsidR="00EA32AB" w:rsidRPr="006F0B1F">
        <w:t xml:space="preserve">length of stay. When obtained there may be a significant number of false positive results that could negatively impact treatment decisions. With the increase focus </w:t>
      </w:r>
      <w:r w:rsidR="004619D5" w:rsidRPr="006F0B1F">
        <w:t>on</w:t>
      </w:r>
      <w:r w:rsidR="00EA32AB" w:rsidRPr="006F0B1F">
        <w:t xml:space="preserve"> value-based healthcare, thrombophilia testing should be considered only if it affects overall patient management and preferably in an outpatient setting with appropriate indications. (1) (2)</w:t>
      </w:r>
    </w:p>
    <w:p w14:paraId="7916B337" w14:textId="77777777" w:rsidR="00777000" w:rsidRPr="006F0B1F" w:rsidRDefault="00777000" w:rsidP="00FD6769"/>
    <w:p w14:paraId="19729BB3" w14:textId="765DA141" w:rsidR="00D52BA3" w:rsidRDefault="002A1BCE" w:rsidP="00FD6769">
      <w:r w:rsidRPr="00BE1266">
        <w:rPr>
          <w:b/>
          <w:bCs/>
        </w:rPr>
        <w:t>Recommendations:</w:t>
      </w:r>
      <w:r w:rsidR="00AC07CB">
        <w:t xml:space="preserve"> </w:t>
      </w:r>
      <w:r w:rsidR="004F52DB">
        <w:t>After reviewing current</w:t>
      </w:r>
      <w:r w:rsidR="00726CC8">
        <w:t xml:space="preserve"> </w:t>
      </w:r>
      <w:r w:rsidR="004F52DB">
        <w:t>literature and recommendations from hematologist</w:t>
      </w:r>
      <w:r w:rsidR="0087476E">
        <w:t>s</w:t>
      </w:r>
      <w:r w:rsidR="004F52DB">
        <w:t xml:space="preserve"> in our region, serology testing for thrombophilia as </w:t>
      </w:r>
      <w:r w:rsidR="007C36BC">
        <w:t xml:space="preserve">an </w:t>
      </w:r>
      <w:r w:rsidR="004F52DB">
        <w:t>inpatient will not be executed</w:t>
      </w:r>
      <w:r w:rsidR="00E36408">
        <w:t xml:space="preserve">. </w:t>
      </w:r>
      <w:r w:rsidR="0001412F">
        <w:t xml:space="preserve">There will </w:t>
      </w:r>
      <w:r w:rsidR="00B12A66">
        <w:t>be notifications sent out to the medical staff prior to implementation</w:t>
      </w:r>
      <w:r w:rsidR="004B09FB">
        <w:t xml:space="preserve">. </w:t>
      </w:r>
      <w:r w:rsidR="00837987">
        <w:t xml:space="preserve">If any ordering provider has issues with this </w:t>
      </w:r>
      <w:r w:rsidR="00A73AD2">
        <w:t>there will b</w:t>
      </w:r>
      <w:r w:rsidR="00E32741">
        <w:t>e a</w:t>
      </w:r>
      <w:r w:rsidR="00EA21FB">
        <w:t xml:space="preserve"> way to communicate with the Dep</w:t>
      </w:r>
      <w:r w:rsidR="002C6ADF">
        <w:t xml:space="preserve">artment of Medicine to voice </w:t>
      </w:r>
      <w:r w:rsidR="0024118A">
        <w:t xml:space="preserve">their concerns. </w:t>
      </w:r>
    </w:p>
    <w:p w14:paraId="7060DA07" w14:textId="77777777" w:rsidR="008950E9" w:rsidRPr="00FD6769" w:rsidRDefault="008950E9" w:rsidP="00FD6769"/>
    <w:p w14:paraId="5740B7C4" w14:textId="77777777" w:rsidR="00067B3B" w:rsidRDefault="00067B3B" w:rsidP="00067B3B">
      <w:r>
        <w:t>1. Mehta et al. Inpatient thrombophilia Workup in Patients with Acute Venous Thromboembolism. Blood (2015) 126 (23): 4720.</w:t>
      </w:r>
    </w:p>
    <w:p w14:paraId="68D6BADC" w14:textId="77777777" w:rsidR="00067B3B" w:rsidRDefault="00067B3B" w:rsidP="00067B3B">
      <w:r>
        <w:t>2. Ackula et al. Inpatient Hypercoagulable Work-up in a Community Teaching Hospital: A preventable Cost with No Added Benefit. Blood (2020) 136 (supplement 1): 26.</w:t>
      </w:r>
    </w:p>
    <w:p w14:paraId="10CB6FE7" w14:textId="489EC51C" w:rsidR="00067B3B" w:rsidRDefault="00067B3B" w:rsidP="00067B3B">
      <w:r>
        <w:t>3. Conners. Thrombophilia Testing and Venous Thrombosis. NEJM (2017) 377: 1177-1187.</w:t>
      </w:r>
    </w:p>
    <w:p w14:paraId="79137AA1" w14:textId="77777777" w:rsidR="00F47593" w:rsidRDefault="00F47593">
      <w:pPr>
        <w:rPr>
          <w:sz w:val="20"/>
          <w:szCs w:val="20"/>
        </w:rPr>
      </w:pPr>
    </w:p>
    <w:p w14:paraId="6EE3C2F3" w14:textId="6D2A20F8" w:rsidR="00F47593" w:rsidRDefault="00F47593" w:rsidP="0038416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   ______</w:t>
      </w:r>
      <w:r w:rsidR="00CD7A5C">
        <w:rPr>
          <w:sz w:val="20"/>
          <w:szCs w:val="20"/>
        </w:rPr>
        <w:t xml:space="preserve">                                    ____________________  ______</w:t>
      </w:r>
      <w:r w:rsidR="00D2336E">
        <w:rPr>
          <w:sz w:val="20"/>
          <w:szCs w:val="20"/>
        </w:rPr>
        <w:t xml:space="preserve"> </w:t>
      </w:r>
    </w:p>
    <w:p w14:paraId="0B8B5136" w14:textId="49A1F67B" w:rsidR="00E11124" w:rsidRDefault="004C6CF5" w:rsidP="0038416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Michae</w:t>
      </w:r>
      <w:bookmarkStart w:id="0" w:name="_GoBack"/>
      <w:bookmarkEnd w:id="0"/>
      <w:r w:rsidR="00D2336E">
        <w:rPr>
          <w:sz w:val="20"/>
          <w:szCs w:val="20"/>
        </w:rPr>
        <w:t xml:space="preserve">l </w:t>
      </w:r>
      <w:r w:rsidR="00275596">
        <w:rPr>
          <w:sz w:val="20"/>
          <w:szCs w:val="20"/>
        </w:rPr>
        <w:t xml:space="preserve">Albert, MD </w:t>
      </w:r>
      <w:r w:rsidR="00E11124">
        <w:rPr>
          <w:sz w:val="20"/>
          <w:szCs w:val="20"/>
        </w:rPr>
        <w:tab/>
      </w:r>
      <w:r w:rsidR="0038416E">
        <w:rPr>
          <w:sz w:val="20"/>
          <w:szCs w:val="20"/>
        </w:rPr>
        <w:t xml:space="preserve">  Date</w:t>
      </w:r>
      <w:r w:rsidR="00E11124">
        <w:rPr>
          <w:sz w:val="20"/>
          <w:szCs w:val="20"/>
        </w:rPr>
        <w:tab/>
      </w:r>
      <w:r w:rsidR="00E11124">
        <w:rPr>
          <w:sz w:val="20"/>
          <w:szCs w:val="20"/>
        </w:rPr>
        <w:tab/>
      </w:r>
      <w:r w:rsidR="00E11124">
        <w:rPr>
          <w:sz w:val="20"/>
          <w:szCs w:val="20"/>
        </w:rPr>
        <w:tab/>
        <w:t xml:space="preserve">           Jeffrey Lach, </w:t>
      </w:r>
      <w:r w:rsidR="0052337E">
        <w:rPr>
          <w:sz w:val="20"/>
          <w:szCs w:val="20"/>
        </w:rPr>
        <w:t>DO</w:t>
      </w:r>
      <w:r w:rsidR="0038416E">
        <w:rPr>
          <w:sz w:val="20"/>
          <w:szCs w:val="20"/>
        </w:rPr>
        <w:t>.               Date</w:t>
      </w:r>
    </w:p>
    <w:p w14:paraId="2DA32700" w14:textId="50F69432" w:rsidR="00275596" w:rsidRDefault="002943C6" w:rsidP="0038416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Chair of Pathology and Clinical Laboratories </w:t>
      </w:r>
      <w:r w:rsidR="0052337E">
        <w:rPr>
          <w:sz w:val="20"/>
          <w:szCs w:val="20"/>
        </w:rPr>
        <w:t xml:space="preserve">                </w:t>
      </w:r>
      <w:r w:rsidR="0038416E">
        <w:rPr>
          <w:sz w:val="20"/>
          <w:szCs w:val="20"/>
        </w:rPr>
        <w:t xml:space="preserve">  </w:t>
      </w:r>
      <w:r w:rsidR="0052337E">
        <w:rPr>
          <w:sz w:val="20"/>
          <w:szCs w:val="20"/>
        </w:rPr>
        <w:t xml:space="preserve">Assistant Chair of Medicine </w:t>
      </w:r>
    </w:p>
    <w:p w14:paraId="0D2F6ADB" w14:textId="32116589" w:rsidR="00F47593" w:rsidRPr="00F47593" w:rsidRDefault="00F47593">
      <w:pPr>
        <w:rPr>
          <w:sz w:val="20"/>
          <w:szCs w:val="20"/>
        </w:rPr>
      </w:pPr>
    </w:p>
    <w:sectPr w:rsidR="00F47593" w:rsidRPr="00F47593">
      <w:footerReference w:type="default" r:id="rId7"/>
      <w:pgSz w:w="12240" w:h="15840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D06C7" w14:textId="77777777" w:rsidR="00CB300B" w:rsidRDefault="00CB300B">
      <w:pPr>
        <w:spacing w:after="0" w:line="240" w:lineRule="auto"/>
      </w:pPr>
      <w:r>
        <w:separator/>
      </w:r>
    </w:p>
  </w:endnote>
  <w:endnote w:type="continuationSeparator" w:id="0">
    <w:p w14:paraId="13E53C36" w14:textId="77777777" w:rsidR="00CB300B" w:rsidRDefault="00CB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D2409" w14:textId="77777777" w:rsidR="0030200E" w:rsidRDefault="00504816"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FDAAC" w14:textId="77777777" w:rsidR="00CB300B" w:rsidRDefault="00CB300B">
      <w:pPr>
        <w:spacing w:after="0" w:line="240" w:lineRule="auto"/>
      </w:pPr>
      <w:r>
        <w:separator/>
      </w:r>
    </w:p>
  </w:footnote>
  <w:footnote w:type="continuationSeparator" w:id="0">
    <w:p w14:paraId="3DD92864" w14:textId="77777777" w:rsidR="00CB300B" w:rsidRDefault="00CB3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F8"/>
    <w:rsid w:val="0001412F"/>
    <w:rsid w:val="00067ABC"/>
    <w:rsid w:val="00067B3B"/>
    <w:rsid w:val="0012286C"/>
    <w:rsid w:val="00124559"/>
    <w:rsid w:val="00132837"/>
    <w:rsid w:val="001E56FB"/>
    <w:rsid w:val="0024118A"/>
    <w:rsid w:val="00275596"/>
    <w:rsid w:val="002943C6"/>
    <w:rsid w:val="002A1BCE"/>
    <w:rsid w:val="002C6ADF"/>
    <w:rsid w:val="0030200E"/>
    <w:rsid w:val="00306F82"/>
    <w:rsid w:val="00324591"/>
    <w:rsid w:val="0038416E"/>
    <w:rsid w:val="003A2A98"/>
    <w:rsid w:val="003A4E6A"/>
    <w:rsid w:val="003C2885"/>
    <w:rsid w:val="00422AE8"/>
    <w:rsid w:val="0043750C"/>
    <w:rsid w:val="004619D5"/>
    <w:rsid w:val="004B09FB"/>
    <w:rsid w:val="004C6CF5"/>
    <w:rsid w:val="004F138B"/>
    <w:rsid w:val="004F52DB"/>
    <w:rsid w:val="00504816"/>
    <w:rsid w:val="005205AD"/>
    <w:rsid w:val="0052337E"/>
    <w:rsid w:val="00555F91"/>
    <w:rsid w:val="005A6D94"/>
    <w:rsid w:val="005E0DA1"/>
    <w:rsid w:val="006203E1"/>
    <w:rsid w:val="006476FA"/>
    <w:rsid w:val="006727BB"/>
    <w:rsid w:val="006B56E7"/>
    <w:rsid w:val="006F0B1F"/>
    <w:rsid w:val="006F2DD8"/>
    <w:rsid w:val="00705267"/>
    <w:rsid w:val="00726CC8"/>
    <w:rsid w:val="00777000"/>
    <w:rsid w:val="00785A3D"/>
    <w:rsid w:val="007C36BC"/>
    <w:rsid w:val="007D743F"/>
    <w:rsid w:val="00837987"/>
    <w:rsid w:val="0087476E"/>
    <w:rsid w:val="00886CE6"/>
    <w:rsid w:val="008950E9"/>
    <w:rsid w:val="00957EF8"/>
    <w:rsid w:val="009B6245"/>
    <w:rsid w:val="00A73AD2"/>
    <w:rsid w:val="00A81C65"/>
    <w:rsid w:val="00AA6AD1"/>
    <w:rsid w:val="00AC07CB"/>
    <w:rsid w:val="00AE0CA0"/>
    <w:rsid w:val="00AE2738"/>
    <w:rsid w:val="00B02D14"/>
    <w:rsid w:val="00B12A66"/>
    <w:rsid w:val="00B8634B"/>
    <w:rsid w:val="00BD10D0"/>
    <w:rsid w:val="00BE1266"/>
    <w:rsid w:val="00BE50AE"/>
    <w:rsid w:val="00CA2891"/>
    <w:rsid w:val="00CB300B"/>
    <w:rsid w:val="00CD3C06"/>
    <w:rsid w:val="00CD7A5C"/>
    <w:rsid w:val="00CE4884"/>
    <w:rsid w:val="00CF5D6D"/>
    <w:rsid w:val="00D158DA"/>
    <w:rsid w:val="00D203E7"/>
    <w:rsid w:val="00D2336E"/>
    <w:rsid w:val="00D52BA3"/>
    <w:rsid w:val="00D73E7C"/>
    <w:rsid w:val="00E11124"/>
    <w:rsid w:val="00E32741"/>
    <w:rsid w:val="00E36408"/>
    <w:rsid w:val="00E5444D"/>
    <w:rsid w:val="00EA209E"/>
    <w:rsid w:val="00EA21FB"/>
    <w:rsid w:val="00EA32AB"/>
    <w:rsid w:val="00F3043D"/>
    <w:rsid w:val="00F47593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F1E9B"/>
  <w15:chartTrackingRefBased/>
  <w15:docId w15:val="{60CF40BA-D335-A949-AD1F-B2ED7EAD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666660" w:themeColor="text2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666660" w:themeColor="text2" w:themeTint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454541" w:themeColor="text2" w:themeTint="E6"/>
      <w:sz w:val="3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ehlik\AppData\Local\Microsoft\Windows\INetCache\%7bEB8065F3-5C6B-724A-ABB5-16134EB15168%7dtf16392100.dotx" TargetMode="External"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{EB8065F3-5C6B-724A-ABB5-16134EB15168}tf16392100.dotx</Template>
  <TotalTime>1</TotalTime>
  <Pages>1</Pages>
  <Words>284</Words>
  <Characters>1624</Characters>
  <Application>Microsoft Office Word</Application>
  <DocSecurity>4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Lach</dc:creator>
  <cp:keywords/>
  <dc:description/>
  <cp:lastModifiedBy>Stehlik, Dr. Edward</cp:lastModifiedBy>
  <cp:revision>2</cp:revision>
  <dcterms:created xsi:type="dcterms:W3CDTF">2023-07-24T14:53:00Z</dcterms:created>
  <dcterms:modified xsi:type="dcterms:W3CDTF">2023-07-24T14:53:00Z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-768214033</vt:i4>
  </property>
  <property fmtid="{D5CDD505-2E9C-101B-9397-08002B2CF9AE}" pid="3" name="_NewReviewCycle">
    <vt:lpwstr/>
  </property>
  <property fmtid="{D5CDD505-2E9C-101B-9397-08002B2CF9AE}" pid="4" name="_EmailSubject">
    <vt:lpwstr>For website</vt:lpwstr>
  </property>
  <property fmtid="{D5CDD505-2E9C-101B-9397-08002B2CF9AE}" pid="5" name="_AuthorEmail">
    <vt:lpwstr>estehlik@chsbuffalo.org</vt:lpwstr>
  </property>
  <property fmtid="{D5CDD505-2E9C-101B-9397-08002B2CF9AE}" pid="6" name="_AuthorEmailDisplayName">
    <vt:lpwstr>Stehlik, MD Edward A</vt:lpwstr>
  </property>
  <property fmtid="{D5CDD505-2E9C-101B-9397-08002B2CF9AE}" pid="8" name="_PreviousAdHocReviewCycleID">
    <vt:i4>1454259702</vt:i4>
  </property>
</Properties>
</file>